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3D5F8568" w:rsidR="002C1220" w:rsidRPr="009F4B55" w:rsidRDefault="005F10C3" w:rsidP="002C1220">
      <w:pPr>
        <w:pStyle w:val="Header"/>
        <w:tabs>
          <w:tab w:val="right" w:pos="9639"/>
        </w:tabs>
        <w:jc w:val="both"/>
        <w:rPr>
          <w:rFonts w:cs="Arial"/>
          <w:bCs/>
          <w:i/>
          <w:noProof w:val="0"/>
          <w:sz w:val="24"/>
          <w:szCs w:val="24"/>
        </w:rPr>
      </w:pPr>
      <w:bookmarkStart w:id="0" w:name="_Hlk519580081"/>
      <w:r w:rsidRPr="009F4B55">
        <w:rPr>
          <w:rFonts w:cs="Arial"/>
          <w:bCs/>
          <w:noProof w:val="0"/>
          <w:sz w:val="24"/>
          <w:szCs w:val="24"/>
        </w:rPr>
        <w:t>3GPP TSG-RAN WG3 Meeting #1</w:t>
      </w:r>
      <w:r w:rsidR="006A213B" w:rsidRPr="009F4B55">
        <w:rPr>
          <w:rFonts w:cs="Arial"/>
          <w:bCs/>
          <w:noProof w:val="0"/>
          <w:sz w:val="24"/>
          <w:szCs w:val="24"/>
        </w:rPr>
        <w:t>10</w:t>
      </w:r>
      <w:r w:rsidR="00044AC7" w:rsidRPr="009F4B55">
        <w:rPr>
          <w:rFonts w:cs="Arial"/>
          <w:bCs/>
          <w:noProof w:val="0"/>
          <w:sz w:val="24"/>
          <w:szCs w:val="24"/>
        </w:rPr>
        <w:t>-e</w:t>
      </w:r>
      <w:r w:rsidR="002C1220" w:rsidRPr="009F4B55">
        <w:rPr>
          <w:rFonts w:cs="Arial"/>
          <w:bCs/>
          <w:noProof w:val="0"/>
          <w:sz w:val="24"/>
          <w:szCs w:val="24"/>
        </w:rPr>
        <w:tab/>
        <w:t>R3-</w:t>
      </w:r>
      <w:r w:rsidR="00FA4A45" w:rsidRPr="009F4B55">
        <w:rPr>
          <w:rFonts w:cs="Arial"/>
          <w:bCs/>
          <w:noProof w:val="0"/>
          <w:sz w:val="24"/>
          <w:szCs w:val="24"/>
        </w:rPr>
        <w:t>20</w:t>
      </w:r>
      <w:r w:rsidR="005B4D4E">
        <w:rPr>
          <w:rFonts w:cs="Arial"/>
          <w:bCs/>
          <w:noProof w:val="0"/>
          <w:sz w:val="24"/>
          <w:szCs w:val="24"/>
        </w:rPr>
        <w:t>5959</w:t>
      </w:r>
    </w:p>
    <w:bookmarkEnd w:id="0"/>
    <w:p w14:paraId="5669B020" w14:textId="5F6729BA" w:rsidR="004C654E" w:rsidRPr="009F4B55" w:rsidRDefault="00044AC7" w:rsidP="004C654E">
      <w:pPr>
        <w:pStyle w:val="Header"/>
        <w:tabs>
          <w:tab w:val="left" w:pos="2410"/>
        </w:tabs>
        <w:rPr>
          <w:rFonts w:eastAsia="MS Mincho" w:cs="Arial"/>
          <w:sz w:val="24"/>
          <w:szCs w:val="24"/>
        </w:rPr>
      </w:pPr>
      <w:r w:rsidRPr="009F4B55">
        <w:rPr>
          <w:rFonts w:eastAsia="MS Mincho" w:cs="Arial"/>
          <w:sz w:val="24"/>
          <w:szCs w:val="24"/>
        </w:rPr>
        <w:t>E-meeting</w:t>
      </w:r>
      <w:r w:rsidR="00FC5FE8" w:rsidRPr="009F4B55">
        <w:rPr>
          <w:rFonts w:eastAsia="MS Mincho" w:cs="Arial"/>
          <w:sz w:val="24"/>
          <w:szCs w:val="24"/>
        </w:rPr>
        <w:t xml:space="preserve">, </w:t>
      </w:r>
      <w:r w:rsidR="006A213B" w:rsidRPr="009F4B55">
        <w:rPr>
          <w:rFonts w:eastAsia="MS Mincho" w:cs="Arial"/>
          <w:sz w:val="24"/>
          <w:szCs w:val="24"/>
        </w:rPr>
        <w:t>2</w:t>
      </w:r>
      <w:r w:rsidR="00FA4A45" w:rsidRPr="009F4B55">
        <w:rPr>
          <w:rFonts w:eastAsia="MS Mincho" w:cs="Arial"/>
          <w:sz w:val="24"/>
          <w:szCs w:val="24"/>
        </w:rPr>
        <w:t>-</w:t>
      </w:r>
      <w:r w:rsidR="00F75748" w:rsidRPr="009F4B55">
        <w:rPr>
          <w:rFonts w:eastAsia="MS Mincho" w:cs="Arial"/>
          <w:sz w:val="24"/>
          <w:szCs w:val="24"/>
        </w:rPr>
        <w:t>1</w:t>
      </w:r>
      <w:r w:rsidR="005B4D4E">
        <w:rPr>
          <w:rFonts w:eastAsia="MS Mincho" w:cs="Arial"/>
          <w:sz w:val="24"/>
          <w:szCs w:val="24"/>
        </w:rPr>
        <w:t>2</w:t>
      </w:r>
      <w:r w:rsidR="00FC5FE8" w:rsidRPr="009F4B55">
        <w:rPr>
          <w:rFonts w:eastAsia="MS Mincho" w:cs="Arial"/>
          <w:sz w:val="24"/>
          <w:szCs w:val="24"/>
        </w:rPr>
        <w:t xml:space="preserve"> </w:t>
      </w:r>
      <w:r w:rsidR="006A213B" w:rsidRPr="009F4B55">
        <w:rPr>
          <w:rFonts w:eastAsia="MS Mincho" w:cs="Arial"/>
          <w:sz w:val="24"/>
          <w:szCs w:val="24"/>
        </w:rPr>
        <w:t>Nov</w:t>
      </w:r>
      <w:r w:rsidR="005F10C3" w:rsidRPr="009F4B55">
        <w:rPr>
          <w:rFonts w:eastAsia="MS Mincho" w:cs="Arial"/>
          <w:sz w:val="24"/>
          <w:szCs w:val="24"/>
        </w:rPr>
        <w:t xml:space="preserve"> 20</w:t>
      </w:r>
      <w:r w:rsidR="00FA4A45" w:rsidRPr="009F4B55">
        <w:rPr>
          <w:rFonts w:eastAsia="MS Mincho" w:cs="Arial"/>
          <w:sz w:val="24"/>
          <w:szCs w:val="24"/>
        </w:rPr>
        <w:t>20</w:t>
      </w:r>
    </w:p>
    <w:p w14:paraId="2F96B0BD" w14:textId="77777777" w:rsidR="002F2360" w:rsidRPr="009F4B55" w:rsidRDefault="002F2360" w:rsidP="002F2360">
      <w:pPr>
        <w:pStyle w:val="Header"/>
        <w:tabs>
          <w:tab w:val="left" w:pos="2410"/>
        </w:tabs>
        <w:rPr>
          <w:bCs/>
          <w:noProof w:val="0"/>
          <w:sz w:val="24"/>
        </w:rPr>
      </w:pPr>
    </w:p>
    <w:p w14:paraId="430718D4" w14:textId="07454150" w:rsidR="002F2360" w:rsidRPr="009F4B55" w:rsidRDefault="002F2360" w:rsidP="002F2360">
      <w:pPr>
        <w:pStyle w:val="CRCoverPage"/>
        <w:tabs>
          <w:tab w:val="left" w:pos="1985"/>
          <w:tab w:val="left" w:pos="2410"/>
        </w:tabs>
        <w:rPr>
          <w:rFonts w:cs="Arial"/>
          <w:b/>
          <w:bCs/>
          <w:sz w:val="24"/>
          <w:lang w:eastAsia="ja-JP"/>
        </w:rPr>
      </w:pPr>
      <w:r w:rsidRPr="009F4B55">
        <w:rPr>
          <w:rFonts w:cs="Arial"/>
          <w:b/>
          <w:bCs/>
          <w:sz w:val="24"/>
        </w:rPr>
        <w:t>Agenda item:</w:t>
      </w:r>
      <w:r w:rsidRPr="009F4B55">
        <w:rPr>
          <w:rFonts w:cs="Arial"/>
          <w:b/>
          <w:bCs/>
          <w:sz w:val="24"/>
        </w:rPr>
        <w:tab/>
      </w:r>
      <w:r w:rsidR="005B4D4E" w:rsidRPr="005B4D4E">
        <w:rPr>
          <w:rFonts w:cs="Arial"/>
          <w:b/>
          <w:bCs/>
          <w:sz w:val="24"/>
        </w:rPr>
        <w:t>10.2.1.5</w:t>
      </w:r>
    </w:p>
    <w:p w14:paraId="02505283" w14:textId="2DAF7CAA" w:rsidR="002F2360" w:rsidRPr="009F4B55" w:rsidRDefault="002F2360" w:rsidP="002F2360">
      <w:pPr>
        <w:tabs>
          <w:tab w:val="left" w:pos="1985"/>
          <w:tab w:val="left" w:pos="2410"/>
        </w:tabs>
        <w:ind w:left="1985" w:hanging="1985"/>
        <w:rPr>
          <w:rFonts w:ascii="Arial" w:hAnsi="Arial" w:cs="Arial"/>
          <w:b/>
          <w:bCs/>
          <w:sz w:val="24"/>
        </w:rPr>
      </w:pPr>
      <w:r w:rsidRPr="009F4B55">
        <w:rPr>
          <w:rFonts w:ascii="Arial" w:hAnsi="Arial" w:cs="Arial"/>
          <w:b/>
          <w:bCs/>
          <w:sz w:val="24"/>
        </w:rPr>
        <w:t>Source:</w:t>
      </w:r>
      <w:r w:rsidRPr="009F4B55">
        <w:rPr>
          <w:rFonts w:ascii="Arial" w:hAnsi="Arial" w:cs="Arial"/>
          <w:b/>
          <w:bCs/>
          <w:sz w:val="24"/>
        </w:rPr>
        <w:tab/>
        <w:t xml:space="preserve">Nokia, </w:t>
      </w:r>
      <w:r w:rsidRPr="009F4B55">
        <w:rPr>
          <w:rFonts w:ascii="Arial" w:hAnsi="Arial" w:cs="Arial"/>
          <w:b/>
          <w:bCs/>
          <w:sz w:val="24"/>
          <w:lang w:eastAsia="ja-JP"/>
        </w:rPr>
        <w:t xml:space="preserve">Nokia </w:t>
      </w:r>
      <w:r w:rsidRPr="009F4B55">
        <w:rPr>
          <w:rFonts w:ascii="Arial" w:hAnsi="Arial" w:cs="Arial"/>
          <w:b/>
          <w:bCs/>
          <w:sz w:val="24"/>
        </w:rPr>
        <w:t>Shanghai Bell</w:t>
      </w:r>
      <w:r w:rsidR="00971121">
        <w:rPr>
          <w:rFonts w:ascii="Arial" w:hAnsi="Arial" w:cs="Arial"/>
          <w:b/>
          <w:bCs/>
          <w:sz w:val="24"/>
        </w:rPr>
        <w:t>, BT</w:t>
      </w:r>
      <w:r w:rsidR="00C83528">
        <w:rPr>
          <w:rFonts w:ascii="Arial" w:hAnsi="Arial" w:cs="Arial"/>
          <w:b/>
          <w:bCs/>
          <w:sz w:val="24"/>
        </w:rPr>
        <w:t xml:space="preserve">, </w:t>
      </w:r>
      <w:r w:rsidR="00C83528" w:rsidRPr="00C83528">
        <w:rPr>
          <w:rFonts w:ascii="Arial" w:hAnsi="Arial" w:cs="Arial"/>
          <w:b/>
          <w:bCs/>
          <w:sz w:val="24"/>
        </w:rPr>
        <w:t>Qualcomm Incorporated</w:t>
      </w:r>
    </w:p>
    <w:p w14:paraId="5E7A28BB" w14:textId="35C0DC16" w:rsidR="00CD4C7B" w:rsidRPr="009F4B55" w:rsidRDefault="00CD4C7B" w:rsidP="00EE13A8">
      <w:pPr>
        <w:tabs>
          <w:tab w:val="left" w:pos="2410"/>
        </w:tabs>
        <w:ind w:left="1985" w:hanging="1985"/>
        <w:rPr>
          <w:rFonts w:ascii="Arial" w:hAnsi="Arial" w:cs="Arial"/>
          <w:b/>
          <w:bCs/>
          <w:sz w:val="24"/>
        </w:rPr>
      </w:pPr>
      <w:r w:rsidRPr="009F4B55">
        <w:rPr>
          <w:rFonts w:ascii="Arial" w:hAnsi="Arial" w:cs="Arial"/>
          <w:b/>
          <w:bCs/>
          <w:sz w:val="24"/>
        </w:rPr>
        <w:t>Title:</w:t>
      </w:r>
      <w:r w:rsidRPr="009F4B55">
        <w:rPr>
          <w:rFonts w:ascii="Arial" w:hAnsi="Arial" w:cs="Arial"/>
          <w:b/>
          <w:bCs/>
          <w:sz w:val="24"/>
        </w:rPr>
        <w:tab/>
      </w:r>
      <w:r w:rsidR="00103A05" w:rsidRPr="009F4B55">
        <w:rPr>
          <w:rFonts w:ascii="Arial" w:hAnsi="Arial" w:cs="Arial"/>
          <w:b/>
          <w:bCs/>
          <w:sz w:val="24"/>
        </w:rPr>
        <w:t>Completion of the load information signalling in EN-DC</w:t>
      </w:r>
    </w:p>
    <w:p w14:paraId="0F79702C" w14:textId="0AE6489D" w:rsidR="00CD4C7B" w:rsidRPr="009F4B55" w:rsidRDefault="00CD4C7B" w:rsidP="00EE13A8">
      <w:pPr>
        <w:tabs>
          <w:tab w:val="left" w:pos="1985"/>
          <w:tab w:val="left" w:pos="2410"/>
        </w:tabs>
        <w:rPr>
          <w:rFonts w:ascii="Arial" w:hAnsi="Arial" w:cs="Arial"/>
          <w:b/>
          <w:bCs/>
          <w:sz w:val="24"/>
        </w:rPr>
      </w:pPr>
      <w:r w:rsidRPr="009F4B55">
        <w:rPr>
          <w:rFonts w:ascii="Arial" w:hAnsi="Arial" w:cs="Arial"/>
          <w:b/>
          <w:bCs/>
          <w:sz w:val="24"/>
        </w:rPr>
        <w:t>Document for:</w:t>
      </w:r>
      <w:r w:rsidRPr="009F4B55">
        <w:rPr>
          <w:rFonts w:ascii="Arial" w:hAnsi="Arial" w:cs="Arial"/>
          <w:b/>
          <w:bCs/>
          <w:sz w:val="24"/>
        </w:rPr>
        <w:tab/>
        <w:t>Discussion</w:t>
      </w:r>
    </w:p>
    <w:p w14:paraId="3F7C60B7" w14:textId="77777777" w:rsidR="00AB30AE" w:rsidRPr="009F4B55" w:rsidRDefault="00AB30AE" w:rsidP="00EE13A8">
      <w:pPr>
        <w:tabs>
          <w:tab w:val="left" w:pos="1985"/>
          <w:tab w:val="left" w:pos="2410"/>
        </w:tabs>
        <w:rPr>
          <w:rFonts w:ascii="Arial" w:hAnsi="Arial" w:cs="Arial"/>
          <w:bCs/>
          <w:sz w:val="24"/>
        </w:rPr>
      </w:pPr>
    </w:p>
    <w:p w14:paraId="40D0F11F" w14:textId="3CF2C848" w:rsidR="00CD4C7B" w:rsidRPr="009F4B55" w:rsidRDefault="00CD4C7B" w:rsidP="00EE13A8">
      <w:pPr>
        <w:pStyle w:val="Heading1"/>
        <w:tabs>
          <w:tab w:val="left" w:pos="2410"/>
        </w:tabs>
      </w:pPr>
      <w:r w:rsidRPr="009F4B55">
        <w:t>1</w:t>
      </w:r>
      <w:r w:rsidRPr="009F4B55">
        <w:tab/>
      </w:r>
      <w:r w:rsidR="0056573F" w:rsidRPr="009F4B55">
        <w:t>Introduction</w:t>
      </w:r>
    </w:p>
    <w:p w14:paraId="4A787D20" w14:textId="6E1BF5F1" w:rsidR="001E4F37" w:rsidRPr="009F4B55" w:rsidRDefault="00103A05" w:rsidP="008572DC">
      <w:bookmarkStart w:id="1" w:name="_Toc474247438"/>
      <w:r w:rsidRPr="009F4B55">
        <w:t xml:space="preserve">During the work on Rel.16 SON solution, load information was enabled for NR, including EN-DC. </w:t>
      </w:r>
      <w:r w:rsidR="003539F3">
        <w:t xml:space="preserve">New procedures were added on Xn, NR, E1 and F1. </w:t>
      </w:r>
      <w:r w:rsidRPr="009F4B55">
        <w:t xml:space="preserve">On X2, load information could be exchanged since Rel.8, but it concerns LTE only. Therefore, for EN-DC, new </w:t>
      </w:r>
      <w:r w:rsidR="00A11958" w:rsidRPr="009F4B55">
        <w:t>signalling</w:t>
      </w:r>
      <w:r w:rsidRPr="009F4B55">
        <w:t xml:space="preserve"> was added</w:t>
      </w:r>
      <w:r w:rsidR="003539F3">
        <w:t xml:space="preserve"> there, too</w:t>
      </w:r>
      <w:r w:rsidRPr="009F4B55">
        <w:t>.</w:t>
      </w:r>
      <w:r w:rsidR="001E4F37" w:rsidRPr="009F4B55">
        <w:t xml:space="preserve"> </w:t>
      </w:r>
    </w:p>
    <w:p w14:paraId="4CAD8B08" w14:textId="19DE9CC9" w:rsidR="005E3D0F" w:rsidRPr="009F4B55" w:rsidRDefault="001E4F37" w:rsidP="008572DC">
      <w:r w:rsidRPr="009F4B55">
        <w:t xml:space="preserve">In this paper, we focus on the EN-DC </w:t>
      </w:r>
      <w:r w:rsidR="00A11958" w:rsidRPr="009F4B55">
        <w:t>signalling</w:t>
      </w:r>
      <w:r w:rsidRPr="009F4B55">
        <w:t>.</w:t>
      </w:r>
    </w:p>
    <w:p w14:paraId="309917E7" w14:textId="77777777" w:rsidR="00051152" w:rsidRPr="009F4B55" w:rsidRDefault="00BE5235" w:rsidP="00051152">
      <w:pPr>
        <w:pStyle w:val="Heading1"/>
        <w:tabs>
          <w:tab w:val="left" w:pos="2410"/>
        </w:tabs>
      </w:pPr>
      <w:r w:rsidRPr="009F4B55">
        <w:t>2</w:t>
      </w:r>
      <w:r w:rsidR="00051152" w:rsidRPr="009F4B55">
        <w:tab/>
      </w:r>
      <w:r w:rsidRPr="009F4B55">
        <w:t>Discussion</w:t>
      </w:r>
    </w:p>
    <w:bookmarkEnd w:id="1"/>
    <w:p w14:paraId="20B95A22" w14:textId="77157A0A" w:rsidR="00E826CD" w:rsidRDefault="00E826CD" w:rsidP="00AA4AF2">
      <w:r w:rsidRPr="009F4B55">
        <w:t xml:space="preserve">The </w:t>
      </w:r>
      <w:r w:rsidR="00A11958" w:rsidRPr="009F4B55">
        <w:t>signalling</w:t>
      </w:r>
      <w:r w:rsidRPr="009F4B55">
        <w:t xml:space="preserve"> added on X2 at Rel.16 allows the MeNB to request load information from the SgNB. The information is about the same as the information provided from NR nodes over Xn. Therefore, the MeNB must be able to interpret NR load information – but it is facilitated with the use of the Composite Available Capacity, which should be, to some extend, system-agnostic. This solution</w:t>
      </w:r>
      <w:r w:rsidR="00E60524">
        <w:t xml:space="preserve"> is</w:t>
      </w:r>
      <w:r w:rsidRPr="009F4B55">
        <w:t xml:space="preserve"> apparently</w:t>
      </w:r>
      <w:r w:rsidR="00E60524">
        <w:t xml:space="preserve"> </w:t>
      </w:r>
      <w:r w:rsidRPr="009F4B55">
        <w:t>meant to allow the MeNB to decide if the SgNB has enough resources to accommodate a new EN-DC connection.</w:t>
      </w:r>
    </w:p>
    <w:p w14:paraId="4172321A" w14:textId="6B8A628D" w:rsidR="00E826CD" w:rsidRPr="009F4B55" w:rsidRDefault="00E60524" w:rsidP="00AA4AF2">
      <w:r>
        <w:t xml:space="preserve">In Rel.16, it is not possible that the SgNB checks resource status on the MeNB. </w:t>
      </w:r>
      <w:r w:rsidR="00E826CD" w:rsidRPr="009F4B55">
        <w:t xml:space="preserve">However, it may well happen that the </w:t>
      </w:r>
      <w:r w:rsidR="005A16DA" w:rsidRPr="009F4B55">
        <w:t xml:space="preserve">SgNB considers releasing </w:t>
      </w:r>
      <w:r>
        <w:t xml:space="preserve">an EN-DC </w:t>
      </w:r>
      <w:r w:rsidR="005A16DA" w:rsidRPr="009F4B55">
        <w:t xml:space="preserve">connection. Recently, a scenario with the UE asking to release DC operation to save energy was discussed (RAN2 </w:t>
      </w:r>
      <w:r w:rsidR="00C83528">
        <w:t xml:space="preserve">decided </w:t>
      </w:r>
      <w:r w:rsidR="005A16DA" w:rsidRPr="009F4B55">
        <w:t xml:space="preserve">that the node </w:t>
      </w:r>
      <w:r w:rsidR="00C83528">
        <w:t xml:space="preserve">to receive the information from the UE </w:t>
      </w:r>
      <w:r w:rsidR="005A16DA" w:rsidRPr="009F4B55">
        <w:t xml:space="preserve">should be the SgNB). There may also be different scenarios where the SgNB might want to </w:t>
      </w:r>
      <w:r>
        <w:t xml:space="preserve">save energy on some of own cells and to </w:t>
      </w:r>
      <w:r w:rsidR="005A16DA" w:rsidRPr="009F4B55">
        <w:t>release DC operation</w:t>
      </w:r>
      <w:r>
        <w:t xml:space="preserve"> – in such cases release is tempting option, but is not necessary</w:t>
      </w:r>
      <w:r w:rsidR="005A16DA" w:rsidRPr="009F4B55">
        <w:t xml:space="preserve">. </w:t>
      </w:r>
      <w:r w:rsidR="008E11A5" w:rsidRPr="009F4B55">
        <w:t xml:space="preserve">Currently, the SgNB </w:t>
      </w:r>
      <w:r>
        <w:t xml:space="preserve">must then give </w:t>
      </w:r>
      <w:r w:rsidR="00EA2F57">
        <w:t xml:space="preserve">the release </w:t>
      </w:r>
      <w:r>
        <w:t>a try: it can not</w:t>
      </w:r>
      <w:r w:rsidR="008E11A5" w:rsidRPr="009F4B55">
        <w:t xml:space="preserve"> know if the MeNB is able to handle load supported </w:t>
      </w:r>
      <w:r>
        <w:t xml:space="preserve">so far </w:t>
      </w:r>
      <w:r w:rsidR="008E11A5" w:rsidRPr="009F4B55">
        <w:t xml:space="preserve">at the SgNB. </w:t>
      </w:r>
    </w:p>
    <w:p w14:paraId="64E7E75D" w14:textId="543096BA" w:rsidR="008E11A5" w:rsidRPr="009F4B55" w:rsidRDefault="008E11A5" w:rsidP="00AA4AF2">
      <w:pPr>
        <w:rPr>
          <w:b/>
          <w:bCs/>
        </w:rPr>
      </w:pPr>
      <w:r w:rsidRPr="009F4B55">
        <w:rPr>
          <w:b/>
          <w:bCs/>
        </w:rPr>
        <w:t>Proposal 1: The SgNB should also be allowed to request load information from the MeNB.</w:t>
      </w:r>
    </w:p>
    <w:p w14:paraId="369FEC6F" w14:textId="1F2619F7" w:rsidR="008E11A5" w:rsidRPr="009F4B55" w:rsidRDefault="00A11958" w:rsidP="00AA4AF2">
      <w:r w:rsidRPr="009F4B55">
        <w:t>The signalling enabled for EN-DC seems to be ready for the extension: the NR load information is optional</w:t>
      </w:r>
      <w:r w:rsidR="00B35A1C">
        <w:t>, so it is very straightforward to add another option with LTE load</w:t>
      </w:r>
      <w:r w:rsidRPr="009F4B55">
        <w:t xml:space="preserve">. </w:t>
      </w:r>
      <w:r w:rsidR="00CD18B6" w:rsidRPr="009F4B55">
        <w:t>To facilitate implementation (and following the existing example of NR-originated load information), the information from the MeNB should be exactly the same that is used in LTE</w:t>
      </w:r>
      <w:r w:rsidR="002B6CDA">
        <w:t xml:space="preserve"> (though the ICIC-related information is not needed)</w:t>
      </w:r>
      <w:r w:rsidR="00CD18B6" w:rsidRPr="009F4B55">
        <w:t xml:space="preserve">. In any case, the most important parameter will likely be the Composite Available Capacity. </w:t>
      </w:r>
    </w:p>
    <w:p w14:paraId="29E4CDA2" w14:textId="0C7FB96F" w:rsidR="001577BF" w:rsidRPr="009F4B55" w:rsidRDefault="001577BF" w:rsidP="00AA4AF2">
      <w:pPr>
        <w:rPr>
          <w:b/>
        </w:rPr>
      </w:pPr>
      <w:r w:rsidRPr="009F4B55">
        <w:rPr>
          <w:b/>
        </w:rPr>
        <w:t>Proposal</w:t>
      </w:r>
      <w:r w:rsidR="009F4B55" w:rsidRPr="009F4B55">
        <w:rPr>
          <w:b/>
        </w:rPr>
        <w:t xml:space="preserve"> 2: The signalling </w:t>
      </w:r>
      <w:r w:rsidR="009F4B55">
        <w:rPr>
          <w:b/>
        </w:rPr>
        <w:t>defined for load information in EN-DC is extended so that the SgNB may request LTE load information from the MeNB.</w:t>
      </w:r>
    </w:p>
    <w:p w14:paraId="28E42E52" w14:textId="77777777" w:rsidR="000F16C4" w:rsidRPr="009F4B55" w:rsidRDefault="00CD2620" w:rsidP="00E00CEF">
      <w:pPr>
        <w:pStyle w:val="Heading1"/>
      </w:pPr>
      <w:r w:rsidRPr="009F4B55">
        <w:t>3</w:t>
      </w:r>
      <w:r w:rsidR="000F16C4" w:rsidRPr="009F4B55">
        <w:tab/>
      </w:r>
      <w:r w:rsidRPr="009F4B55">
        <w:t>Conclusions</w:t>
      </w:r>
    </w:p>
    <w:p w14:paraId="2C10ADBC" w14:textId="0E5153F7" w:rsidR="00A15228" w:rsidRDefault="00BE5DF7" w:rsidP="006A43F7">
      <w:pPr>
        <w:jc w:val="both"/>
        <w:rPr>
          <w:bCs/>
        </w:rPr>
      </w:pPr>
      <w:r>
        <w:rPr>
          <w:bCs/>
        </w:rPr>
        <w:t>In this paper, we present the current situation of the load information exchange in EN-DC, and propose an extension to the existing signalling:</w:t>
      </w:r>
    </w:p>
    <w:p w14:paraId="24B555A7" w14:textId="77777777" w:rsidR="00BE5DF7" w:rsidRPr="009F4B55" w:rsidRDefault="00BE5DF7" w:rsidP="00BE5DF7">
      <w:pPr>
        <w:rPr>
          <w:b/>
          <w:bCs/>
        </w:rPr>
      </w:pPr>
      <w:r w:rsidRPr="009F4B55">
        <w:rPr>
          <w:b/>
          <w:bCs/>
        </w:rPr>
        <w:t>Proposal 1: The SgNB should also be allowed to request load information from the MeNB.</w:t>
      </w:r>
    </w:p>
    <w:p w14:paraId="5BA3B7EA" w14:textId="77777777" w:rsidR="00BE5DF7" w:rsidRPr="009F4B55" w:rsidRDefault="00BE5DF7" w:rsidP="00BE5DF7">
      <w:pPr>
        <w:rPr>
          <w:b/>
        </w:rPr>
      </w:pPr>
      <w:r w:rsidRPr="009F4B55">
        <w:rPr>
          <w:b/>
        </w:rPr>
        <w:t xml:space="preserve">Proposal 2: The signalling </w:t>
      </w:r>
      <w:r>
        <w:rPr>
          <w:b/>
        </w:rPr>
        <w:t>defined for load information in EN-DC is extended so that the SgNB may request LTE load information from the MeNB.</w:t>
      </w:r>
    </w:p>
    <w:p w14:paraId="610ED570" w14:textId="0D855BE8" w:rsidR="00BE5DF7" w:rsidRPr="009F4B55" w:rsidRDefault="00BE5DF7" w:rsidP="006A43F7">
      <w:pPr>
        <w:jc w:val="both"/>
        <w:rPr>
          <w:bCs/>
        </w:rPr>
      </w:pPr>
      <w:r>
        <w:rPr>
          <w:bCs/>
        </w:rPr>
        <w:t xml:space="preserve">The above proposals are implemented in a </w:t>
      </w:r>
      <w:r w:rsidR="005B4D4E">
        <w:rPr>
          <w:bCs/>
        </w:rPr>
        <w:t>TP</w:t>
      </w:r>
      <w:bookmarkStart w:id="2" w:name="_GoBack"/>
      <w:bookmarkEnd w:id="2"/>
      <w:r>
        <w:rPr>
          <w:bCs/>
        </w:rPr>
        <w:t xml:space="preserve"> for X2AP [1].</w:t>
      </w:r>
    </w:p>
    <w:p w14:paraId="483F8717" w14:textId="77777777" w:rsidR="00403B9B" w:rsidRPr="009F4B55" w:rsidRDefault="00403B9B" w:rsidP="00403B9B">
      <w:pPr>
        <w:pStyle w:val="Heading1"/>
      </w:pPr>
      <w:r w:rsidRPr="009F4B55">
        <w:lastRenderedPageBreak/>
        <w:t>References</w:t>
      </w:r>
    </w:p>
    <w:p w14:paraId="2AF1DCFA" w14:textId="3634122C" w:rsidR="006A43F7" w:rsidRPr="009F4B55" w:rsidRDefault="00BE5DF7" w:rsidP="008A3464">
      <w:pPr>
        <w:numPr>
          <w:ilvl w:val="0"/>
          <w:numId w:val="4"/>
        </w:numPr>
        <w:overflowPunct w:val="0"/>
        <w:autoSpaceDE w:val="0"/>
        <w:autoSpaceDN w:val="0"/>
        <w:adjustRightInd w:val="0"/>
        <w:textAlignment w:val="baseline"/>
      </w:pPr>
      <w:r>
        <w:t>R3-20</w:t>
      </w:r>
      <w:r w:rsidR="005B4D4E">
        <w:t>5960</w:t>
      </w:r>
      <w:r>
        <w:t>, RAN3 #110-e</w:t>
      </w:r>
    </w:p>
    <w:p w14:paraId="01293442" w14:textId="77777777" w:rsidR="0022219E" w:rsidRPr="009F4B55" w:rsidRDefault="0022219E" w:rsidP="0022219E">
      <w:pPr>
        <w:overflowPunct w:val="0"/>
        <w:autoSpaceDE w:val="0"/>
        <w:autoSpaceDN w:val="0"/>
        <w:adjustRightInd w:val="0"/>
        <w:textAlignment w:val="baseline"/>
      </w:pPr>
    </w:p>
    <w:sectPr w:rsidR="0022219E" w:rsidRPr="009F4B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F368A" w14:textId="77777777" w:rsidR="00627F4F" w:rsidRDefault="00627F4F">
      <w:r>
        <w:separator/>
      </w:r>
    </w:p>
  </w:endnote>
  <w:endnote w:type="continuationSeparator" w:id="0">
    <w:p w14:paraId="636D86B6" w14:textId="77777777" w:rsidR="00627F4F" w:rsidRDefault="00627F4F">
      <w:r>
        <w:continuationSeparator/>
      </w:r>
    </w:p>
  </w:endnote>
  <w:endnote w:type="continuationNotice" w:id="1">
    <w:p w14:paraId="583354AB" w14:textId="77777777" w:rsidR="00627F4F" w:rsidRDefault="00627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F172F" w14:textId="77777777" w:rsidR="00627F4F" w:rsidRDefault="00627F4F">
      <w:r>
        <w:separator/>
      </w:r>
    </w:p>
  </w:footnote>
  <w:footnote w:type="continuationSeparator" w:id="0">
    <w:p w14:paraId="70473AD0" w14:textId="77777777" w:rsidR="00627F4F" w:rsidRDefault="00627F4F">
      <w:r>
        <w:continuationSeparator/>
      </w:r>
    </w:p>
  </w:footnote>
  <w:footnote w:type="continuationNotice" w:id="1">
    <w:p w14:paraId="0C229C48" w14:textId="77777777" w:rsidR="00627F4F" w:rsidRDefault="00627F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9"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14"/>
  </w:num>
  <w:num w:numId="4">
    <w:abstractNumId w:val="9"/>
  </w:num>
  <w:num w:numId="5">
    <w:abstractNumId w:val="10"/>
  </w:num>
  <w:num w:numId="6">
    <w:abstractNumId w:val="36"/>
  </w:num>
  <w:num w:numId="7">
    <w:abstractNumId w:val="24"/>
  </w:num>
  <w:num w:numId="8">
    <w:abstractNumId w:val="15"/>
  </w:num>
  <w:num w:numId="9">
    <w:abstractNumId w:val="35"/>
  </w:num>
  <w:num w:numId="10">
    <w:abstractNumId w:val="23"/>
  </w:num>
  <w:num w:numId="11">
    <w:abstractNumId w:val="13"/>
  </w:num>
  <w:num w:numId="12">
    <w:abstractNumId w:val="30"/>
  </w:num>
  <w:num w:numId="13">
    <w:abstractNumId w:val="31"/>
  </w:num>
  <w:num w:numId="14">
    <w:abstractNumId w:val="2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8"/>
  </w:num>
  <w:num w:numId="25">
    <w:abstractNumId w:val="26"/>
  </w:num>
  <w:num w:numId="26">
    <w:abstractNumId w:val="16"/>
  </w:num>
  <w:num w:numId="27">
    <w:abstractNumId w:val="20"/>
  </w:num>
  <w:num w:numId="28">
    <w:abstractNumId w:val="33"/>
  </w:num>
  <w:num w:numId="29">
    <w:abstractNumId w:val="34"/>
  </w:num>
  <w:num w:numId="30">
    <w:abstractNumId w:val="25"/>
  </w:num>
  <w:num w:numId="31">
    <w:abstractNumId w:val="22"/>
  </w:num>
  <w:num w:numId="32">
    <w:abstractNumId w:val="17"/>
  </w:num>
  <w:num w:numId="33">
    <w:abstractNumId w:val="27"/>
  </w:num>
  <w:num w:numId="34">
    <w:abstractNumId w:val="12"/>
  </w:num>
  <w:num w:numId="35">
    <w:abstractNumId w:val="11"/>
  </w:num>
  <w:num w:numId="36">
    <w:abstractNumId w:val="32"/>
  </w:num>
  <w:num w:numId="37">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6A1C"/>
    <w:rsid w:val="000E72CB"/>
    <w:rsid w:val="000E7E52"/>
    <w:rsid w:val="000F16C4"/>
    <w:rsid w:val="000F4440"/>
    <w:rsid w:val="000F4EBF"/>
    <w:rsid w:val="000F551E"/>
    <w:rsid w:val="001000CD"/>
    <w:rsid w:val="00100C6F"/>
    <w:rsid w:val="00101F3D"/>
    <w:rsid w:val="00103188"/>
    <w:rsid w:val="00103A05"/>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E4F37"/>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6CD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9F3"/>
    <w:rsid w:val="00353EE1"/>
    <w:rsid w:val="0035462D"/>
    <w:rsid w:val="00354716"/>
    <w:rsid w:val="00354A4F"/>
    <w:rsid w:val="003556A5"/>
    <w:rsid w:val="003565BE"/>
    <w:rsid w:val="00356EC2"/>
    <w:rsid w:val="00356FDD"/>
    <w:rsid w:val="0035742A"/>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088F"/>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6DA"/>
    <w:rsid w:val="005A1D77"/>
    <w:rsid w:val="005A3223"/>
    <w:rsid w:val="005A3AF8"/>
    <w:rsid w:val="005A669D"/>
    <w:rsid w:val="005B01C6"/>
    <w:rsid w:val="005B021A"/>
    <w:rsid w:val="005B0915"/>
    <w:rsid w:val="005B1232"/>
    <w:rsid w:val="005B1D3C"/>
    <w:rsid w:val="005B34D8"/>
    <w:rsid w:val="005B4D4E"/>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27F4F"/>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11A5"/>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121"/>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4014"/>
    <w:rsid w:val="009C55D0"/>
    <w:rsid w:val="009C55E8"/>
    <w:rsid w:val="009C5D10"/>
    <w:rsid w:val="009C67DB"/>
    <w:rsid w:val="009C7DAE"/>
    <w:rsid w:val="009D0FF6"/>
    <w:rsid w:val="009D30B7"/>
    <w:rsid w:val="009D73C0"/>
    <w:rsid w:val="009E3E1E"/>
    <w:rsid w:val="009E48B1"/>
    <w:rsid w:val="009F056C"/>
    <w:rsid w:val="009F17BF"/>
    <w:rsid w:val="009F4335"/>
    <w:rsid w:val="009F482E"/>
    <w:rsid w:val="009F4B55"/>
    <w:rsid w:val="00A00DC2"/>
    <w:rsid w:val="00A01921"/>
    <w:rsid w:val="00A0557F"/>
    <w:rsid w:val="00A05D49"/>
    <w:rsid w:val="00A05DB2"/>
    <w:rsid w:val="00A0682C"/>
    <w:rsid w:val="00A078CD"/>
    <w:rsid w:val="00A10CA5"/>
    <w:rsid w:val="00A10F02"/>
    <w:rsid w:val="00A113D9"/>
    <w:rsid w:val="00A115B3"/>
    <w:rsid w:val="00A11958"/>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6401"/>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A1C"/>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5DF7"/>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528"/>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18B6"/>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0524"/>
    <w:rsid w:val="00E62835"/>
    <w:rsid w:val="00E648F0"/>
    <w:rsid w:val="00E655A7"/>
    <w:rsid w:val="00E67287"/>
    <w:rsid w:val="00E67670"/>
    <w:rsid w:val="00E678FA"/>
    <w:rsid w:val="00E70506"/>
    <w:rsid w:val="00E72827"/>
    <w:rsid w:val="00E73933"/>
    <w:rsid w:val="00E758E2"/>
    <w:rsid w:val="00E77645"/>
    <w:rsid w:val="00E80B0B"/>
    <w:rsid w:val="00E826CD"/>
    <w:rsid w:val="00E8330F"/>
    <w:rsid w:val="00E838AA"/>
    <w:rsid w:val="00E86928"/>
    <w:rsid w:val="00E870CD"/>
    <w:rsid w:val="00E8740E"/>
    <w:rsid w:val="00E96E21"/>
    <w:rsid w:val="00EA22F8"/>
    <w:rsid w:val="00EA2F57"/>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09"/>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C7001"/>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20FAA529-D87A-4979-946B-21B393439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92</TotalTime>
  <Pages>2</Pages>
  <Words>426</Words>
  <Characters>2560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2981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dc:title>
  <dc:subject>3GPP RAN3 #110-e</dc:subject>
  <dc:creator>Benoist Sébire</dc:creator>
  <cp:keywords>&lt;keyword[, keyword, ]&gt;</cp:keywords>
  <dc:description/>
  <cp:lastModifiedBy>Nokia</cp:lastModifiedBy>
  <cp:revision>36</cp:revision>
  <cp:lastPrinted>2019-03-27T07:16:00Z</cp:lastPrinted>
  <dcterms:created xsi:type="dcterms:W3CDTF">2019-10-03T12:07:00Z</dcterms:created>
  <dcterms:modified xsi:type="dcterms:W3CDTF">2020-10-22T10:02:00Z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